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97B7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4AB345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704379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6507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DA85B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48305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74682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1CC907D" w14:textId="2B9943F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1B59" w:rsidRPr="0074548C">
        <w:rPr>
          <w:rFonts w:ascii="Verdana" w:hAnsi="Verdana"/>
          <w:b/>
          <w:bCs/>
          <w:sz w:val="18"/>
          <w:szCs w:val="18"/>
        </w:rPr>
        <w:t>„Oprava přejezdů v obvodu Správy tratí Ústí nad Labem pro r. 2024“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FCFC99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C247B07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75E9A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912A7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3171B0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4C8C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347C0C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BB728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35A832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0B6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DA0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1E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FA5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CF93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12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D941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E65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F84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98081A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C3A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FD8B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8AE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C5F6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FCAC9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FA64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DFB0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6DA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A4BD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1D5A4F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713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571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7CD1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816A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3E9E1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2571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FF9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20F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26F9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F4068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436B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9F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4E6E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FCB1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76F1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03D0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6C0D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1061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3A8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726727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9019C1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DCDF0ED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F93D" w14:textId="77777777" w:rsidR="003B4360" w:rsidRDefault="003B4360">
      <w:r>
        <w:separator/>
      </w:r>
    </w:p>
  </w:endnote>
  <w:endnote w:type="continuationSeparator" w:id="0">
    <w:p w14:paraId="48C8C23E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67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51E41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B48F" w14:textId="5CE51518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C1B59" w:rsidRPr="00AC1B5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9461" w14:textId="77777777" w:rsidR="003B4360" w:rsidRDefault="003B4360">
      <w:r>
        <w:separator/>
      </w:r>
    </w:p>
  </w:footnote>
  <w:footnote w:type="continuationSeparator" w:id="0">
    <w:p w14:paraId="3E65C0E9" w14:textId="77777777" w:rsidR="003B4360" w:rsidRDefault="003B4360">
      <w:r>
        <w:continuationSeparator/>
      </w:r>
    </w:p>
  </w:footnote>
  <w:footnote w:id="1">
    <w:p w14:paraId="1526506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6C5C31" w14:textId="77777777" w:rsidTr="00575A5C">
      <w:trPr>
        <w:trHeight w:val="925"/>
      </w:trPr>
      <w:tc>
        <w:tcPr>
          <w:tcW w:w="5041" w:type="dxa"/>
          <w:vAlign w:val="center"/>
        </w:tcPr>
        <w:p w14:paraId="1C6B210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4DEE52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60AF52C" w14:textId="77777777" w:rsidR="00BD4E85" w:rsidRDefault="00BD4E85" w:rsidP="0009080E">
          <w:pPr>
            <w:pStyle w:val="Zhlav"/>
            <w:jc w:val="right"/>
          </w:pPr>
        </w:p>
      </w:tc>
    </w:tr>
  </w:tbl>
  <w:p w14:paraId="7119C16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1B59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A366F"/>
  <w15:docId w15:val="{C6225165-EB00-45EF-916D-DCAA0AA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2024-04-19T11:02:00Z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